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85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85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85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85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85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85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85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85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855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Курганинский район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от 24 февраля 2021 г. № 54 «Об утверждении Программы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приватизации муниципального имущества муниципального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образования Курганинский район на 2021 год»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                    от 21 декабря 2001 г. № 178-ФЗ «О приватизации государственного                          и муниципального имущества», Федеральным Законом от 22 июля 2008 г.                 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статьей 25 Устава муниципального образования Курганинский район, зарегистрированного управлением Министерства юстиции Российской Федерации по Краснодарскому краю 29 мая 2017 г.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235170002017001, Совет муниципального образования Курганинский район р е ш и л: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1. Внести в решение Совета муниципального образования Курганинский район от 24 февраля 2021 г. № 54 «</w:t>
      </w:r>
      <w:r>
        <w:rPr>
          <w:bCs/>
          <w:sz w:val="28"/>
          <w:szCs w:val="28"/>
        </w:rPr>
        <w:t>Об утверждении Программы приватизации муниципального имущества муниципального образования Курганинский район на 2021 год» следующие</w:t>
      </w:r>
      <w:r>
        <w:rPr>
          <w:sz w:val="28"/>
          <w:szCs w:val="28"/>
        </w:rPr>
        <w:t xml:space="preserve"> изменения:</w:t>
      </w:r>
    </w:p>
    <w:p>
      <w:pPr>
        <w:pStyle w:val="Normal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пункт 2.1 статьи 2 «Прогноз поступлений денежных средств в местный бюджет при приватизации объектов муниципальной собственности» изложить в новой редакции:</w:t>
      </w:r>
    </w:p>
    <w:p>
      <w:pPr>
        <w:pStyle w:val="Normal"/>
        <w:ind w:firstLine="720"/>
        <w:jc w:val="both"/>
        <w:rPr/>
      </w:pPr>
      <w:r>
        <w:rPr>
          <w:bCs/>
          <w:sz w:val="28"/>
          <w:szCs w:val="28"/>
        </w:rPr>
        <w:t xml:space="preserve">«2.1. </w:t>
      </w:r>
      <w:r>
        <w:rPr>
          <w:sz w:val="28"/>
          <w:szCs w:val="28"/>
        </w:rPr>
        <w:t xml:space="preserve">Прогноз ожидаемых поступлений в бюджет муниципального образования Курганинский район от приватизации в 2021-2023 году составляет приблизительно </w:t>
      </w:r>
      <w:r>
        <w:rPr>
          <w:sz w:val="28"/>
        </w:rPr>
        <w:t>8224301 (восемь миллионов двести двадцать четыре тысячи триста один) рубль:</w:t>
      </w:r>
    </w:p>
    <w:p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в 2021 году – 0 (ноль) рублей;</w:t>
      </w:r>
    </w:p>
    <w:p>
      <w:pPr>
        <w:pStyle w:val="Normal"/>
        <w:ind w:firstLine="720"/>
        <w:jc w:val="both"/>
        <w:rPr/>
      </w:pPr>
      <w:r>
        <w:rPr>
          <w:sz w:val="28"/>
        </w:rPr>
        <w:t>в 2022 году – 3224301 (три миллиона двести двадцать четыре тысячи триста один) рубль;</w:t>
      </w:r>
    </w:p>
    <w:p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в 2023 году – приблизительно 500000 (пять миллионов) рублей»;</w:t>
      </w:r>
    </w:p>
    <w:p>
      <w:pPr>
        <w:pStyle w:val="Normal"/>
        <w:ind w:firstLine="720"/>
        <w:jc w:val="both"/>
        <w:rPr/>
      </w:pPr>
      <w:r>
        <w:rPr>
          <w:sz w:val="28"/>
        </w:rPr>
        <w:t xml:space="preserve">2) раздел </w:t>
      </w:r>
      <w:r>
        <w:rPr>
          <w:sz w:val="28"/>
          <w:lang w:val="en-US"/>
        </w:rPr>
        <w:t>II</w:t>
      </w:r>
      <w:r>
        <w:rPr>
          <w:sz w:val="28"/>
        </w:rPr>
        <w:t xml:space="preserve"> «Перечень муниципального имущества, приватизация которого планируется в 2021-2023 годах» изложить в новой редакции:</w:t>
      </w:r>
    </w:p>
    <w:p>
      <w:pPr>
        <w:pStyle w:val="Normal"/>
        <w:jc w:val="center"/>
        <w:rPr/>
      </w:pPr>
      <w:r>
        <w:rPr>
          <w:sz w:val="28"/>
        </w:rPr>
        <w:t>«</w:t>
      </w:r>
      <w:r>
        <w:rPr>
          <w:sz w:val="28"/>
          <w:lang w:val="en-US"/>
        </w:rPr>
        <w:t>II</w:t>
      </w:r>
      <w:r>
        <w:rPr>
          <w:sz w:val="28"/>
        </w:rPr>
        <w:t xml:space="preserve">. Перечень муниципального имущества, </w:t>
      </w:r>
    </w:p>
    <w:p>
      <w:pPr>
        <w:pStyle w:val="Normal"/>
        <w:jc w:val="center"/>
        <w:rPr/>
      </w:pPr>
      <w:r>
        <w:rPr>
          <w:sz w:val="28"/>
        </w:rPr>
        <w:t xml:space="preserve">приватизация которого планируется в </w:t>
      </w:r>
      <w:r>
        <w:rPr/>
        <w:t>2021-2023 годах</w:t>
      </w:r>
    </w:p>
    <w:tbl>
      <w:tblPr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6237"/>
        <w:gridCol w:w="2835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b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Наименование объекта, место нахождение объекта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4</w:t>
            </w:r>
          </w:p>
        </w:tc>
      </w:tr>
      <w:tr>
        <w:trPr>
          <w:trHeight w:val="126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имущество, расположенное по адресу: Курганинский район, г. Курганинск, ул. Комсомольская, 99:</w:t>
            </w:r>
          </w:p>
          <w:p>
            <w:pPr>
              <w:pStyle w:val="Normal"/>
              <w:widowControl w:val="false"/>
              <w:ind w:firstLine="318"/>
              <w:jc w:val="both"/>
              <w:rPr/>
            </w:pPr>
            <w:r>
              <w:rPr>
                <w:sz w:val="24"/>
                <w:szCs w:val="24"/>
              </w:rPr>
              <w:t xml:space="preserve">художественная школа, кадастровый номер 23:16:0601097:156, назначение – нежилое, общая площадь 189,6 кв.м., кадастровая стоимость 1226615,856 руб.; </w:t>
            </w:r>
          </w:p>
          <w:p>
            <w:pPr>
              <w:pStyle w:val="Normal"/>
              <w:widowControl w:val="false"/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с кадастровым номером 23:16:0601097:274 вид разрешенного использования – школы начальные и средние</w:t>
            </w:r>
            <w:r>
              <w:rPr>
                <w:bCs/>
                <w:sz w:val="24"/>
                <w:szCs w:val="24"/>
                <w:shd w:fill="FFFFFF" w:val="clear"/>
              </w:rPr>
              <w:t xml:space="preserve">, площадь – 899 кв.м., </w:t>
            </w:r>
            <w:r>
              <w:rPr>
                <w:sz w:val="24"/>
                <w:szCs w:val="24"/>
              </w:rPr>
              <w:t>кадастровая стоимость 1833986,97 руб., рыночная стоимость ориентировочная 4500000 руб.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"/>
              <w:spacing w:before="0" w:after="0"/>
              <w:contextualSpacing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В соответствии </w:t>
            </w:r>
          </w:p>
          <w:p>
            <w:pPr>
              <w:pStyle w:val="Heading"/>
              <w:spacing w:before="0" w:after="0"/>
              <w:contextualSpacing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с Федеральным законом  № 178-ФЗ </w:t>
            </w:r>
          </w:p>
          <w:p>
            <w:pPr>
              <w:pStyle w:val="Heading"/>
              <w:spacing w:before="0" w:after="0"/>
              <w:contextualSpacing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от 21 декабря 2001 г.</w:t>
            </w:r>
          </w:p>
        </w:tc>
      </w:tr>
      <w:tr>
        <w:trPr>
          <w:trHeight w:val="126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помещение, расположенное по адресу: Краснодарский край, Курганинский район, г. Курганинск, ул. Кирова, д. 44, помещение 1, кадастровый номер 23:16:0601023:419, назначение – нежилое, общая площадь 21,8 кв.м., кадастровая стоимость 394338,25 руб., рыночная стоимость ориентировочная 500000 руб.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"/>
              <w:spacing w:before="0" w:after="0"/>
              <w:contextualSpacing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В соответствии </w:t>
            </w:r>
          </w:p>
          <w:p>
            <w:pPr>
              <w:pStyle w:val="Heading"/>
              <w:spacing w:before="0" w:after="0"/>
              <w:contextualSpacing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с Федеральным законом  № 178-ФЗ </w:t>
            </w:r>
          </w:p>
          <w:p>
            <w:pPr>
              <w:pStyle w:val="Heading"/>
              <w:spacing w:before="0" w:after="0"/>
              <w:contextualSpacing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от 21 декабря 2001 г.</w:t>
            </w:r>
          </w:p>
        </w:tc>
      </w:tr>
      <w:tr>
        <w:trPr>
          <w:trHeight w:val="126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помещение, расположенное по адресу:                            г. Курганинск, Армавирское шоссе, д. 1, пом. 1-5, 8-10, 17, 22-28, кадастровый номер 23:16:0601012:455, назначение – нежилое, общая площадь 198,4 кв.м., кадастровая стоимость 3375569,66 руб., рыночная стоимость 2271184 руб.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"/>
              <w:spacing w:before="0" w:after="0"/>
              <w:contextualSpacing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 соответствии с Федеральным законом    № 159-ФЗ                                     от 22.06.2008 г.</w:t>
            </w:r>
          </w:p>
        </w:tc>
      </w:tr>
      <w:tr>
        <w:trPr>
          <w:trHeight w:val="126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помещение, расположенное по адресу:                            г. Курганинск, Армавирское шоссе, д. 1, пом. 20, 21 кадастровый номер 23:16:0601012:475, назначение – нежилое, общая площадь 45,7 кв.м., кадастровая стоимость 777537,97 руб., рыночная стоимость                    639610 руб.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"/>
              <w:spacing w:before="0" w:after="0"/>
              <w:contextualSpacing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 соответствии с Федеральным законом  № 159-ФЗ                                     от 22.06.2008 г.</w:t>
            </w:r>
          </w:p>
        </w:tc>
      </w:tr>
      <w:tr>
        <w:trPr>
          <w:trHeight w:val="126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помещение, расположенное по адресу:                            г. Курганинск, Армавирское шоссе, д. 1, пом. 18 кадастровый номер 23:16:0601012:476, назначение – нежилое, общая площадь 22,4 кв.м., кадастровая стоимость 381112,70 руб., рыночная стоимость                    313507 руб.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"/>
              <w:spacing w:before="0" w:after="0"/>
              <w:contextualSpacing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 соответствии с Федеральным законом  № 159-ФЗ                                     от 22.06.2008 г.</w:t>
            </w:r>
          </w:p>
        </w:tc>
      </w:tr>
    </w:tbl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имущественных отношений администрации муниципального образования Курганинский район разместить (опубликовать) настоящее решение на официальном сайте Российской Федерации                              в сети «Интернет» для размещения информации о проведении торгов, определенном Правительством Российской Федерации (</w:t>
      </w:r>
      <w:hyperlink r:id="rId2">
        <w:r>
          <w:rPr>
            <w:color w:val="000000"/>
            <w:sz w:val="28"/>
            <w:szCs w:val="28"/>
            <w:u w:val="none"/>
            <w:lang w:val="en-US"/>
          </w:rPr>
          <w:t>www</w:t>
        </w:r>
        <w:r>
          <w:rPr>
            <w:color w:val="000000"/>
            <w:sz w:val="28"/>
            <w:szCs w:val="28"/>
            <w:u w:val="none"/>
          </w:rPr>
          <w:t>.</w:t>
        </w:r>
        <w:r>
          <w:rPr>
            <w:color w:val="000000"/>
            <w:sz w:val="28"/>
            <w:szCs w:val="28"/>
            <w:u w:val="none"/>
            <w:lang w:val="en-US"/>
          </w:rPr>
          <w:t>torgi</w:t>
        </w:r>
        <w:r>
          <w:rPr>
            <w:color w:val="000000"/>
            <w:sz w:val="28"/>
            <w:szCs w:val="28"/>
            <w:u w:val="none"/>
          </w:rPr>
          <w:t>.</w:t>
        </w:r>
        <w:r>
          <w:rPr>
            <w:color w:val="000000"/>
            <w:sz w:val="28"/>
            <w:szCs w:val="28"/>
            <w:u w:val="none"/>
            <w:lang w:val="en-US"/>
          </w:rPr>
          <w:t>gov</w:t>
        </w:r>
        <w:r>
          <w:rPr>
            <w:color w:val="000000"/>
            <w:sz w:val="28"/>
            <w:szCs w:val="28"/>
            <w:u w:val="none"/>
          </w:rPr>
          <w:t>.</w:t>
        </w:r>
        <w:r>
          <w:rPr>
            <w:color w:val="000000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).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3. Отделу информатизации администрации муниципального образования Курганинский район (Спесивцев Д.В.) разместить (обнародовать) настоящее решение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Организационному отделу администрации муниципального образования Курганинский район (Юркевич Н.А.) опубликовать (обнародовать) настоящее решение в установленном законом порядке</w:t>
      </w:r>
      <w:r>
        <w:rPr>
          <w:bCs/>
          <w:sz w:val="28"/>
          <w:szCs w:val="28"/>
        </w:rPr>
        <w:t>.</w:t>
      </w:r>
    </w:p>
    <w:p>
      <w:pPr>
        <w:pStyle w:val="Style21"/>
        <w:ind w:firstLine="720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решения возложить на первого заместителя главы муниципального образования Курганинский район                       Мезрину С.В.</w:t>
      </w:r>
    </w:p>
    <w:p>
      <w:pPr>
        <w:pStyle w:val="Style21"/>
        <w:ind w:firstLine="720"/>
        <w:rPr>
          <w:sz w:val="28"/>
          <w:szCs w:val="28"/>
        </w:rPr>
      </w:pPr>
      <w:r>
        <w:rPr>
          <w:sz w:val="28"/>
          <w:szCs w:val="28"/>
        </w:rPr>
        <w:t>6. Решение вступает в силу со дня его официального опубликования (обнародования).</w:t>
      </w:r>
    </w:p>
    <w:p>
      <w:pPr>
        <w:pStyle w:val="Style21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89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283"/>
        <w:gridCol w:w="4678"/>
      </w:tblGrid>
      <w:tr>
        <w:trPr>
          <w:trHeight w:val="817" w:hRule="atLeast"/>
        </w:trPr>
        <w:tc>
          <w:tcPr>
            <w:tcW w:w="4928" w:type="dxa"/>
            <w:tcBorders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Председатель Совета муниципального</w:t>
            </w:r>
          </w:p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Курганинский район</w:t>
            </w:r>
          </w:p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Маханев</w:t>
            </w:r>
          </w:p>
        </w:tc>
        <w:tc>
          <w:tcPr>
            <w:tcW w:w="283" w:type="dxa"/>
            <w:tcBorders/>
          </w:tcPr>
          <w:p>
            <w:pPr>
              <w:pStyle w:val="Style21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78" w:type="dxa"/>
            <w:tcBorders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Курганинский район</w:t>
            </w:r>
          </w:p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Ворушилин </w:t>
            </w:r>
          </w:p>
        </w:tc>
      </w:tr>
    </w:tbl>
    <w:p>
      <w:pPr>
        <w:pStyle w:val="Normal"/>
        <w:ind w:left="59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9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9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9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9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9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9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9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9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9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9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9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9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9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9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9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9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9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9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9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9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9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9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9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9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9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9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9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9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9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9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>
      <w:pPr>
        <w:pStyle w:val="Normal"/>
        <w:jc w:val="both"/>
        <w:rPr/>
      </w:pPr>
      <w:r>
        <w:rPr>
          <w:sz w:val="28"/>
          <w:szCs w:val="28"/>
        </w:rPr>
        <w:t>проекта решения Совета муниципального образования Курганинский район                от                      №        «</w:t>
      </w:r>
      <w:r>
        <w:rPr>
          <w:bCs/>
          <w:sz w:val="28"/>
          <w:szCs w:val="28"/>
        </w:rPr>
        <w:t>О внесении изменений в решение Совета муниципального образования Курганинский район от 24 февраля 2021 г. № 54 «Об утверждении Программы приватизации муниципального имущества муниципального  образования Курганинский район на 2021 год»</w:t>
      </w:r>
    </w:p>
    <w:p>
      <w:pPr>
        <w:pStyle w:val="Normal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Проект  внесен: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Главой муниципального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Курганинский район</w:t>
        <w:tab/>
        <w:tab/>
        <w:tab/>
        <w:tab/>
        <w:tab/>
        <w:t xml:space="preserve">     А.Н. Ворушилин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муниципального</w:t>
      </w:r>
    </w:p>
    <w:p>
      <w:pPr>
        <w:pStyle w:val="Normal"/>
        <w:jc w:val="both"/>
        <w:rPr/>
      </w:pPr>
      <w:r>
        <w:rPr>
          <w:sz w:val="28"/>
          <w:szCs w:val="28"/>
        </w:rPr>
        <w:t>образования Курганинский район</w:t>
        <w:tab/>
        <w:t xml:space="preserve">                                               Е.В. Лукьяненко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Курганинский район                                                                              С.А. Маханев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Первый заместитель главы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Курганинский район                    </w:t>
        <w:tab/>
        <w:tab/>
        <w:tab/>
        <w:t xml:space="preserve">              </w:t>
        <w:tab/>
        <w:t xml:space="preserve">           С.В. Мезрина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Курганинский район, </w:t>
      </w:r>
    </w:p>
    <w:p>
      <w:pPr>
        <w:pStyle w:val="Normal"/>
        <w:jc w:val="both"/>
        <w:rPr/>
      </w:pPr>
      <w:r>
        <w:rPr>
          <w:sz w:val="28"/>
          <w:szCs w:val="28"/>
        </w:rPr>
        <w:t>управляющий делами</w:t>
        <w:tab/>
        <w:tab/>
        <w:t xml:space="preserve">                                       </w:t>
        <w:tab/>
        <w:tab/>
        <w:t xml:space="preserve">             Д.В. Шунин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Начальник юридического отдела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Курганинский район</w:t>
        <w:tab/>
        <w:tab/>
        <w:tab/>
        <w:tab/>
        <w:tab/>
        <w:t xml:space="preserve">      Р.В. Овсянников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управляющего делами,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организационного отдела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>
      <w:pPr>
        <w:pStyle w:val="Normal"/>
        <w:jc w:val="both"/>
        <w:rPr/>
      </w:pPr>
      <w:r>
        <w:rPr>
          <w:sz w:val="28"/>
          <w:szCs w:val="28"/>
        </w:rPr>
        <w:t>образования Курганинский район</w:t>
        <w:tab/>
        <w:tab/>
        <w:tab/>
        <w:tab/>
        <w:tab/>
        <w:t xml:space="preserve">          Н.А. Юркевич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 РЕШЕНИЮ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Наименование решения</w:t>
      </w:r>
      <w:r>
        <w:rPr>
          <w:sz w:val="28"/>
          <w:szCs w:val="28"/>
        </w:rPr>
        <w:t>:</w:t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>О внесении изменений в решение Совета муниципального образования Курганинский район от 24 февраля 2021 г. № 54 «Об утверждении Программы приватизации муниципального имущества муниципального  образования Курганинский район на 2021 год»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Проект подготовлен: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имущественных отношений администрации  муниципального образования Курганинский район</w:t>
        <w:tab/>
        <w:t xml:space="preserve">   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Решение разослать: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управлению имущественных отношений администрации муниципального образования Курганинский район - 1 экз.;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юридический отдел администрации муниципального образования Курганинский район- 1 экз.;</w:t>
      </w:r>
    </w:p>
    <w:p>
      <w:pPr>
        <w:pStyle w:val="Style30"/>
        <w:widowControl w:val="false"/>
        <w:tabs>
          <w:tab w:val="clear" w:pos="720"/>
          <w:tab w:val="left" w:pos="709" w:leader="none"/>
        </w:tabs>
        <w:spacing w:lineRule="auto" w:line="240"/>
        <w:ind w:left="0" w:right="-1" w:hanging="0"/>
        <w:jc w:val="both"/>
        <w:rPr/>
      </w:pPr>
      <w:r>
        <w:rPr>
          <w:sz w:val="28"/>
          <w:szCs w:val="28"/>
        </w:rPr>
        <w:tab/>
        <w:t>3) организационный отдел администрации муниципального образования Курганинский район – 1 экз.</w:t>
      </w:r>
    </w:p>
    <w:p>
      <w:pPr>
        <w:pStyle w:val="Style30"/>
        <w:widowControl w:val="false"/>
        <w:tabs>
          <w:tab w:val="clear" w:pos="720"/>
          <w:tab w:val="left" w:pos="1134" w:leader="none"/>
        </w:tabs>
        <w:spacing w:lineRule="auto" w:line="240"/>
        <w:ind w:left="0"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03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03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03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03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03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03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03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03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03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1"/>
        <w:rPr>
          <w:rFonts w:eastAsia="Times New Roman" w:cs="Times New Roman"/>
          <w:color w:val="000000"/>
          <w:sz w:val="26"/>
          <w:szCs w:val="26"/>
          <w:u w:val="none"/>
          <w:lang w:val="ru-RU"/>
        </w:rPr>
      </w:pPr>
      <w:r>
        <w:rPr>
          <w:rFonts w:eastAsia="Times New Roman" w:cs="Times New Roman"/>
          <w:color w:val="000000"/>
          <w:sz w:val="26"/>
          <w:szCs w:val="26"/>
          <w:u w:val="none"/>
          <w:lang w:val="ru-RU"/>
        </w:rPr>
        <w:t xml:space="preserve"> </w:t>
      </w:r>
    </w:p>
    <w:p>
      <w:pPr>
        <w:pStyle w:val="31"/>
        <w:rPr>
          <w:rFonts w:cs="Times New Roman"/>
          <w:color w:val="000000"/>
          <w:sz w:val="26"/>
          <w:szCs w:val="26"/>
          <w:u w:val="none"/>
          <w:lang w:val="ru-RU"/>
        </w:rPr>
      </w:pPr>
      <w:r>
        <w:rPr>
          <w:rFonts w:cs="Times New Roman"/>
          <w:color w:val="000000"/>
          <w:sz w:val="26"/>
          <w:szCs w:val="26"/>
          <w:u w:val="none"/>
          <w:lang w:val="ru-RU"/>
        </w:rPr>
      </w:r>
    </w:p>
    <w:p>
      <w:pPr>
        <w:pStyle w:val="31"/>
        <w:rPr>
          <w:rFonts w:cs="Times New Roman"/>
          <w:color w:val="000000"/>
          <w:sz w:val="26"/>
          <w:szCs w:val="26"/>
          <w:u w:val="none"/>
          <w:lang w:val="ru-RU"/>
        </w:rPr>
      </w:pPr>
      <w:r>
        <w:rPr>
          <w:rFonts w:cs="Times New Roman"/>
          <w:color w:val="000000"/>
          <w:sz w:val="26"/>
          <w:szCs w:val="26"/>
          <w:u w:val="none"/>
          <w:lang w:val="ru-RU"/>
        </w:rPr>
      </w:r>
    </w:p>
    <w:p>
      <w:pPr>
        <w:pStyle w:val="31"/>
        <w:rPr>
          <w:rFonts w:cs="Times New Roman"/>
          <w:color w:val="000000"/>
          <w:sz w:val="26"/>
          <w:szCs w:val="26"/>
          <w:u w:val="none"/>
          <w:lang w:val="ru-RU"/>
        </w:rPr>
      </w:pPr>
      <w:r>
        <w:rPr>
          <w:rFonts w:cs="Times New Roman"/>
          <w:color w:val="000000"/>
          <w:sz w:val="26"/>
          <w:szCs w:val="26"/>
          <w:u w:val="none"/>
          <w:lang w:val="ru-RU"/>
        </w:rPr>
      </w:r>
    </w:p>
    <w:p>
      <w:pPr>
        <w:pStyle w:val="31"/>
        <w:rPr>
          <w:rFonts w:cs="Times New Roman"/>
          <w:color w:val="000000"/>
          <w:sz w:val="26"/>
          <w:szCs w:val="26"/>
          <w:u w:val="none"/>
          <w:lang w:val="ru-RU"/>
        </w:rPr>
      </w:pPr>
      <w:r>
        <w:rPr>
          <w:rFonts w:cs="Times New Roman"/>
          <w:color w:val="000000"/>
          <w:sz w:val="26"/>
          <w:szCs w:val="26"/>
          <w:u w:val="none"/>
          <w:lang w:val="ru-RU"/>
        </w:rPr>
      </w:r>
    </w:p>
    <w:p>
      <w:pPr>
        <w:pStyle w:val="31"/>
        <w:rPr>
          <w:rFonts w:cs="Times New Roman"/>
          <w:color w:val="000000"/>
          <w:sz w:val="26"/>
          <w:szCs w:val="26"/>
          <w:u w:val="none"/>
          <w:lang w:val="ru-RU"/>
        </w:rPr>
      </w:pPr>
      <w:r>
        <w:rPr>
          <w:rFonts w:cs="Times New Roman"/>
          <w:color w:val="000000"/>
          <w:sz w:val="26"/>
          <w:szCs w:val="26"/>
          <w:u w:val="none"/>
          <w:lang w:val="ru-RU"/>
        </w:rPr>
      </w:r>
    </w:p>
    <w:p>
      <w:pPr>
        <w:pStyle w:val="31"/>
        <w:rPr>
          <w:rFonts w:cs="Times New Roman"/>
          <w:color w:val="000000"/>
          <w:sz w:val="26"/>
          <w:szCs w:val="26"/>
          <w:u w:val="none"/>
          <w:lang w:val="ru-RU"/>
        </w:rPr>
      </w:pPr>
      <w:r>
        <w:rPr>
          <w:rFonts w:cs="Times New Roman"/>
          <w:color w:val="000000"/>
          <w:sz w:val="26"/>
          <w:szCs w:val="26"/>
          <w:u w:val="none"/>
          <w:lang w:val="ru-RU"/>
        </w:rPr>
      </w:r>
    </w:p>
    <w:p>
      <w:pPr>
        <w:pStyle w:val="31"/>
        <w:rPr>
          <w:rFonts w:cs="Times New Roman"/>
          <w:color w:val="000000"/>
          <w:sz w:val="26"/>
          <w:szCs w:val="26"/>
          <w:u w:val="none"/>
          <w:lang w:val="ru-RU"/>
        </w:rPr>
      </w:pPr>
      <w:r>
        <w:rPr>
          <w:rFonts w:cs="Times New Roman"/>
          <w:color w:val="000000"/>
          <w:sz w:val="26"/>
          <w:szCs w:val="26"/>
          <w:u w:val="none"/>
          <w:lang w:val="ru-RU"/>
        </w:rPr>
      </w:r>
    </w:p>
    <w:p>
      <w:pPr>
        <w:pStyle w:val="31"/>
        <w:rPr>
          <w:rFonts w:cs="Times New Roman"/>
          <w:color w:val="000000"/>
          <w:sz w:val="26"/>
          <w:szCs w:val="26"/>
          <w:u w:val="none"/>
          <w:lang w:val="ru-RU"/>
        </w:rPr>
      </w:pPr>
      <w:r>
        <w:rPr>
          <w:rFonts w:cs="Times New Roman"/>
          <w:color w:val="000000"/>
          <w:sz w:val="26"/>
          <w:szCs w:val="26"/>
          <w:u w:val="none"/>
          <w:lang w:val="ru-RU"/>
        </w:rPr>
      </w:r>
    </w:p>
    <w:p>
      <w:pPr>
        <w:pStyle w:val="31"/>
        <w:rPr>
          <w:rFonts w:cs="Times New Roman"/>
          <w:color w:val="000000"/>
          <w:sz w:val="26"/>
          <w:szCs w:val="26"/>
          <w:u w:val="none"/>
          <w:lang w:val="ru-RU"/>
        </w:rPr>
      </w:pPr>
      <w:r>
        <w:rPr>
          <w:rFonts w:cs="Times New Roman"/>
          <w:color w:val="000000"/>
          <w:sz w:val="26"/>
          <w:szCs w:val="26"/>
          <w:u w:val="none"/>
          <w:lang w:val="ru-RU"/>
        </w:rPr>
      </w:r>
    </w:p>
    <w:p>
      <w:pPr>
        <w:pStyle w:val="31"/>
        <w:rPr>
          <w:rFonts w:cs="Times New Roman"/>
          <w:color w:val="000000"/>
          <w:sz w:val="26"/>
          <w:szCs w:val="26"/>
          <w:u w:val="none"/>
          <w:lang w:val="ru-RU"/>
        </w:rPr>
      </w:pPr>
      <w:r>
        <w:rPr>
          <w:rFonts w:cs="Times New Roman"/>
          <w:color w:val="000000"/>
          <w:sz w:val="26"/>
          <w:szCs w:val="26"/>
          <w:u w:val="none"/>
          <w:lang w:val="ru-RU"/>
        </w:rPr>
      </w:r>
    </w:p>
    <w:p>
      <w:pPr>
        <w:pStyle w:val="31"/>
        <w:rPr>
          <w:rFonts w:cs="Times New Roman"/>
          <w:color w:val="000000"/>
          <w:sz w:val="26"/>
          <w:szCs w:val="26"/>
          <w:u w:val="none"/>
          <w:lang w:val="ru-RU"/>
        </w:rPr>
      </w:pPr>
      <w:r>
        <w:rPr>
          <w:rFonts w:cs="Times New Roman"/>
          <w:color w:val="000000"/>
          <w:sz w:val="26"/>
          <w:szCs w:val="26"/>
          <w:u w:val="none"/>
          <w:lang w:val="ru-RU"/>
        </w:rPr>
      </w:r>
    </w:p>
    <w:p>
      <w:pPr>
        <w:pStyle w:val="31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u w:val="none"/>
          <w:lang w:val="ru-RU"/>
        </w:rPr>
        <w:t xml:space="preserve">______________           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ru-RU"/>
        </w:rPr>
        <w:t xml:space="preserve">Лукьяненко  Елена Владимировна           </w:t>
      </w:r>
      <w:r>
        <w:rPr>
          <w:rFonts w:cs="Times New Roman"/>
          <w:color w:val="000000"/>
          <w:sz w:val="28"/>
          <w:szCs w:val="28"/>
          <w:u w:val="none"/>
          <w:lang w:val="ru-RU"/>
        </w:rPr>
        <w:t xml:space="preserve">______________                         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подпись                                  тел. 2-10-67                                      дата  </w:t>
      </w:r>
    </w:p>
    <w:sectPr>
      <w:headerReference w:type="default" r:id="rId3"/>
      <w:headerReference w:type="first" r:id="rId4"/>
      <w:type w:val="nextPage"/>
      <w:pgSz w:w="11906" w:h="16838"/>
      <w:pgMar w:left="1701" w:right="567" w:gutter="0" w:header="720" w:top="1134" w:footer="0" w:bottom="1134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Segoe UI">
    <w:charset w:val="cc"/>
    <w:family w:val="swiss"/>
    <w:pitch w:val="variable"/>
  </w:font>
  <w:font w:name="PT Astra Serif">
    <w:charset w:val="01"/>
    <w:family w:val="roman"/>
    <w:pitch w:val="default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jc w:val="center"/>
      <w:rPr>
        <w:color w:val="FFFFFF"/>
        <w:sz w:val="28"/>
        <w:szCs w:val="28"/>
      </w:rPr>
    </w:pPr>
    <w:r>
      <w:rPr>
        <w:color w:val="FFFFFF"/>
        <w:sz w:val="28"/>
        <w:szCs w:val="28"/>
      </w:rPr>
      <w:t>2</w:t>
    </w:r>
  </w:p>
  <w:p>
    <w:pPr>
      <w:pStyle w:val="Style26"/>
      <w:rPr>
        <w:color w:val="FFFFFF"/>
        <w:sz w:val="28"/>
        <w:szCs w:val="28"/>
      </w:rPr>
    </w:pPr>
    <w:r>
      <w:rPr>
        <w:color w:val="FFFFFF"/>
        <w:sz w:val="28"/>
        <w:szCs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usePrinterMetric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cs="Times New Roman"/>
    </w:rPr>
  </w:style>
  <w:style w:type="character" w:styleId="WW8Num2z1">
    <w:name w:val="WW8Num2z1"/>
    <w:qFormat/>
    <w:rPr>
      <w:rFonts w:cs="Times New Roman"/>
    </w:rPr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character" w:styleId="Style17">
    <w:name w:val="Текст Знак"/>
    <w:qFormat/>
    <w:rPr>
      <w:rFonts w:ascii="Courier New" w:hAnsi="Courier New" w:cs="Courier New"/>
    </w:rPr>
  </w:style>
  <w:style w:type="character" w:styleId="Style18">
    <w:name w:val="Интернет-ссылка"/>
    <w:rPr>
      <w:color w:val="0000FF"/>
      <w:u w:val="single"/>
    </w:rPr>
  </w:style>
  <w:style w:type="character" w:styleId="Style19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Astra Serif" w:hAnsi="PT Astra Serif" w:eastAsia="Tahoma" w:cs="Droid Sans Devanagari"/>
      <w:sz w:val="28"/>
      <w:szCs w:val="28"/>
    </w:rPr>
  </w:style>
  <w:style w:type="paragraph" w:styleId="Style21">
    <w:name w:val="Body Text"/>
    <w:basedOn w:val="Normal"/>
    <w:pPr>
      <w:jc w:val="both"/>
    </w:pPr>
    <w:rPr>
      <w:sz w:val="24"/>
    </w:rPr>
  </w:style>
  <w:style w:type="paragraph" w:styleId="Style22">
    <w:name w:val="List"/>
    <w:basedOn w:val="Style21"/>
    <w:pPr/>
    <w:rPr>
      <w:rFonts w:ascii="PT Astra Serif" w:hAnsi="PT Astra Serif" w:cs="Droid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Droid Sans Devanagari"/>
      <w:lang w:val="zxx" w:eastAsia="zxx" w:bidi="zxx"/>
    </w:rPr>
  </w:style>
  <w:style w:type="paragraph" w:styleId="Style25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31">
    <w:name w:val="Основной текст 31"/>
    <w:basedOn w:val="Normal"/>
    <w:qFormat/>
    <w:pPr>
      <w:widowControl w:val="false"/>
      <w:suppressAutoHyphens w:val="true"/>
      <w:textAlignment w:val="baseline"/>
    </w:pPr>
    <w:rPr>
      <w:rFonts w:eastAsia="Lucida Sans Unicode" w:cs="Tahoma"/>
      <w:b/>
      <w:bCs/>
      <w:color w:val="000000"/>
      <w:kern w:val="2"/>
      <w:sz w:val="22"/>
      <w:szCs w:val="24"/>
      <w:u w:val="single"/>
      <w:lang w:val="en-US" w:bidi="en-US"/>
    </w:rPr>
  </w:style>
  <w:style w:type="paragraph" w:styleId="Standard">
    <w:name w:val="Standard"/>
    <w:qFormat/>
    <w:pPr>
      <w:widowControl w:val="false"/>
      <w:suppressAutoHyphens w:val="true"/>
      <w:bidi w:val="0"/>
      <w:textAlignment w:val="baseline"/>
    </w:pPr>
    <w:rPr>
      <w:rFonts w:ascii="Times New Roman" w:hAnsi="Times New Roman" w:eastAsia="Lucida Sans Unicode" w:cs="Tahoma"/>
      <w:color w:val="000000"/>
      <w:kern w:val="2"/>
      <w:sz w:val="24"/>
      <w:szCs w:val="24"/>
      <w:lang w:val="en-US" w:bidi="en-US" w:eastAsia="zh-CN"/>
    </w:rPr>
  </w:style>
  <w:style w:type="paragraph" w:styleId="Style28">
    <w:name w:val="Текст"/>
    <w:basedOn w:val="Normal"/>
    <w:qFormat/>
    <w:pPr/>
    <w:rPr>
      <w:rFonts w:ascii="Courier New" w:hAnsi="Courier New" w:cs="Courier New"/>
      <w:lang w:val="ru-RU"/>
    </w:rPr>
  </w:style>
  <w:style w:type="paragraph" w:styleId="1">
    <w:name w:val="Текст1"/>
    <w:basedOn w:val="Normal"/>
    <w:qFormat/>
    <w:pPr>
      <w:suppressAutoHyphens w:val="true"/>
    </w:pPr>
    <w:rPr>
      <w:rFonts w:ascii="Courier New" w:hAnsi="Courier New" w:cs="Courier New"/>
    </w:rPr>
  </w:style>
  <w:style w:type="paragraph" w:styleId="Heading">
    <w:name w:val="Heading"/>
    <w:qFormat/>
    <w:pPr>
      <w:widowControl/>
      <w:autoSpaceDE w:val="false"/>
      <w:bidi w:val="0"/>
    </w:pPr>
    <w:rPr>
      <w:rFonts w:ascii="Arial" w:hAnsi="Arial" w:eastAsia="Calibri" w:cs="Arial"/>
      <w:b/>
      <w:bCs/>
      <w:color w:val="auto"/>
      <w:sz w:val="22"/>
      <w:szCs w:val="22"/>
      <w:lang w:val="ru-RU" w:bidi="ar-SA" w:eastAsia="zh-CN"/>
    </w:rPr>
  </w:style>
  <w:style w:type="paragraph" w:styleId="Style29">
    <w:name w:val="Текст выноски"/>
    <w:basedOn w:val="Normal"/>
    <w:qFormat/>
    <w:pPr/>
    <w:rPr>
      <w:rFonts w:ascii="Segoe UI" w:hAnsi="Segoe UI" w:cs="Segoe UI"/>
      <w:sz w:val="18"/>
      <w:szCs w:val="18"/>
      <w:lang w:val="ru-RU"/>
    </w:rPr>
  </w:style>
  <w:style w:type="paragraph" w:styleId="Style30">
    <w:name w:val="Абзац списка"/>
    <w:basedOn w:val="Normal"/>
    <w:qFormat/>
    <w:pPr>
      <w:spacing w:lineRule="auto" w:line="228" w:before="0" w:after="0"/>
      <w:ind w:left="720" w:right="4253" w:hanging="0"/>
      <w:contextualSpacing/>
      <w:jc w:val="right"/>
    </w:pPr>
    <w:rPr>
      <w:sz w:val="24"/>
      <w:szCs w:val="24"/>
    </w:rPr>
  </w:style>
  <w:style w:type="paragraph" w:styleId="Style31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LibreOffice/7.3.3.2$Linux_X86_64 LibreOffice_project/30$Build-2</Application>
  <AppVersion>15.0000</AppVersion>
  <Pages>8</Pages>
  <Words>827</Words>
  <Characters>6111</Characters>
  <CharactersWithSpaces>7747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2023-01-10T15:46:00Z</dcterms:created>
  <dc:creator>Alexandre Katalov</dc:creator>
  <dc:description/>
  <cp:keywords/>
  <dc:language>ru-RU</dc:language>
  <cp:lastModifiedBy>User15</cp:lastModifiedBy>
  <cp:lastPrinted>2020-02-06T14:50:00Z</cp:lastPrinted>
  <dcterms:modified xsi:type="dcterms:W3CDTF">2023-01-10T15:46:00Z</dcterms:modified>
  <cp:revision>2</cp:revision>
  <dc:subject/>
  <dc:title>Российская Федерация</dc:title>
</cp:coreProperties>
</file>